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ind w:right="50"/>
        <w:jc w:val="center"/>
      </w:pPr>
      <w:r>
        <w:rPr>
          <w:color w:val="282828"/>
        </w:rPr>
        <w:t>ORDINANCE</w:t>
      </w:r>
      <w:r>
        <w:rPr>
          <w:color w:val="282828"/>
          <w:spacing w:val="73"/>
        </w:rPr>
        <w:t> </w:t>
      </w:r>
      <w:r>
        <w:rPr>
          <w:color w:val="282828"/>
        </w:rPr>
        <w:t>2024-</w:t>
      </w:r>
      <w:r>
        <w:rPr>
          <w:color w:val="282828"/>
          <w:spacing w:val="-10"/>
        </w:rPr>
        <w:t>1</w:t>
      </w:r>
    </w:p>
    <w:p>
      <w:pPr>
        <w:pStyle w:val="BodyText"/>
        <w:spacing w:line="249" w:lineRule="auto" w:before="246"/>
        <w:ind w:left="21" w:right="50"/>
        <w:jc w:val="center"/>
      </w:pPr>
      <w:r>
        <w:rPr>
          <w:color w:val="282828"/>
          <w:w w:val="105"/>
        </w:rPr>
        <w:t>AN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ORDINANCE TO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CLOSE,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VACATE AND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ABANDON THE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RIGHT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WAY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OF REDWING AVENUE.</w:t>
      </w:r>
    </w:p>
    <w:p>
      <w:pPr>
        <w:pStyle w:val="BodyText"/>
        <w:spacing w:line="252" w:lineRule="auto" w:before="234"/>
        <w:ind w:left="113" w:right="127" w:firstLine="717"/>
      </w:pPr>
      <w:r>
        <w:rPr>
          <w:color w:val="282828"/>
          <w:w w:val="105"/>
        </w:rPr>
        <w:t>WHEREAS, there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is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shown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on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final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plan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Pendleton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and Blair's Subdivision of Lynwood Park dated June 1913 and ofrecord in Book 421, Page 45, Register's Office of Davidson County, Tennessee ("RODC"), a proposed street.</w:t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118" w:right="107" w:firstLine="721"/>
      </w:pPr>
      <w:r>
        <w:rPr>
          <w:color w:val="282828"/>
          <w:w w:val="105"/>
        </w:rPr>
        <w:t>WHEREAS, a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revision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plan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Lynwood Park,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dated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May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8,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1974,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recorded at Book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4675, Page 109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(RODC), identifies the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proposed street as</w:t>
      </w:r>
      <w:r>
        <w:rPr>
          <w:color w:val="282828"/>
          <w:spacing w:val="-16"/>
          <w:w w:val="105"/>
        </w:rPr>
        <w:t> </w:t>
      </w:r>
      <w:r>
        <w:rPr>
          <w:color w:val="3F3F3F"/>
          <w:w w:val="105"/>
        </w:rPr>
        <w:t>"Redwing </w:t>
      </w:r>
      <w:r>
        <w:rPr>
          <w:color w:val="282828"/>
          <w:w w:val="105"/>
        </w:rPr>
        <w:t>Avenue" (hereinafter sometimes called "the Street"); and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127" w:right="107" w:firstLine="712"/>
      </w:pPr>
      <w:r>
        <w:rPr>
          <w:color w:val="282828"/>
          <w:w w:val="105"/>
        </w:rPr>
        <w:t>WHEREAS, the Street is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also shown on the recorded plan of the Resubdivision of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Lots 21,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22,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23,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Southerly 50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Feet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Lot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24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Shown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on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Unrecorded</w:t>
      </w:r>
      <w:r>
        <w:rPr>
          <w:color w:val="282828"/>
          <w:spacing w:val="12"/>
          <w:w w:val="105"/>
        </w:rPr>
        <w:t> </w:t>
      </w:r>
      <w:r>
        <w:rPr>
          <w:color w:val="282828"/>
          <w:w w:val="105"/>
        </w:rPr>
        <w:t>Plat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Honeywood Subdivision, of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record in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Plat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Book 5200, Page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324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(RODC)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on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Recorded Plan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Deux Properties, of record in Plat Book 6900, Page 227 (RODC); and</w:t>
      </w:r>
    </w:p>
    <w:p>
      <w:pPr>
        <w:pStyle w:val="BodyText"/>
        <w:spacing w:before="6"/>
      </w:pPr>
    </w:p>
    <w:p>
      <w:pPr>
        <w:pStyle w:val="BodyText"/>
        <w:spacing w:line="249" w:lineRule="auto"/>
        <w:ind w:left="132" w:right="107" w:firstLine="717"/>
      </w:pPr>
      <w:r>
        <w:rPr>
          <w:color w:val="282828"/>
          <w:w w:val="105"/>
        </w:rPr>
        <w:t>WHEREAS,</w:t>
      </w:r>
      <w:r>
        <w:rPr>
          <w:color w:val="282828"/>
          <w:w w:val="105"/>
        </w:rPr>
        <w:t> based upon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above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recorded instruments,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right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way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proposed Street is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forty (40)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feet in width wide, except for the portion extending in a more or less west­ easterly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direction, where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it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intersects with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Lynwood Boulevard, which</w:t>
      </w:r>
      <w:r>
        <w:rPr>
          <w:color w:val="282828"/>
          <w:spacing w:val="-6"/>
          <w:w w:val="105"/>
        </w:rPr>
        <w:t> </w:t>
      </w:r>
      <w:r>
        <w:rPr>
          <w:color w:val="3F3F3F"/>
          <w:w w:val="105"/>
        </w:rPr>
        <w:t>is</w:t>
      </w:r>
      <w:r>
        <w:rPr>
          <w:color w:val="3F3F3F"/>
          <w:spacing w:val="-16"/>
          <w:w w:val="105"/>
        </w:rPr>
        <w:t> </w:t>
      </w:r>
      <w:r>
        <w:rPr>
          <w:color w:val="282828"/>
          <w:w w:val="105"/>
        </w:rPr>
        <w:t>fifty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(50)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feet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wide;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and</w:t>
      </w:r>
    </w:p>
    <w:p>
      <w:pPr>
        <w:pStyle w:val="BodyText"/>
        <w:spacing w:before="12"/>
      </w:pPr>
    </w:p>
    <w:p>
      <w:pPr>
        <w:pStyle w:val="BodyText"/>
        <w:spacing w:line="252" w:lineRule="auto" w:before="1"/>
        <w:ind w:left="138" w:right="107" w:firstLine="716"/>
      </w:pPr>
      <w:r>
        <w:rPr>
          <w:color w:val="282828"/>
          <w:w w:val="105"/>
        </w:rPr>
        <w:t>WHEREAS, a portion of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the original right of way of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the Street has already</w:t>
      </w:r>
      <w:r>
        <w:rPr>
          <w:color w:val="282828"/>
          <w:w w:val="105"/>
        </w:rPr>
        <w:t> been abandoned and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conveyed to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one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adjacent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owners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pursuant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Ordinance 2016-4,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is therefore excluded from this ordinance;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146" w:right="127" w:firstLine="717"/>
      </w:pPr>
      <w:r>
        <w:rPr>
          <w:color w:val="282828"/>
          <w:w w:val="105"/>
        </w:rPr>
        <w:t>WHEREAS the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Board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Commissioners</w:t>
      </w:r>
      <w:r>
        <w:rPr>
          <w:color w:val="282828"/>
          <w:w w:val="105"/>
        </w:rPr>
        <w:t> of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City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Belle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Meade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hereby finds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that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the Street has never been improved or used as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public thoroughfare, is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not required for public use, and that the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closure of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the Street as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public street and the abandonment</w:t>
      </w:r>
      <w:r>
        <w:rPr>
          <w:color w:val="282828"/>
          <w:spacing w:val="24"/>
          <w:w w:val="105"/>
        </w:rPr>
        <w:t> </w:t>
      </w:r>
      <w:r>
        <w:rPr>
          <w:color w:val="282828"/>
          <w:w w:val="105"/>
        </w:rPr>
        <w:t>of the right-of-way</w:t>
      </w:r>
      <w:r>
        <w:rPr>
          <w:color w:val="282828"/>
          <w:spacing w:val="25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w w:val="105"/>
        </w:rPr>
        <w:t> the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Street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will not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destroy or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damage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access to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any adjacent properties or properties intended to be served thereby; and</w:t>
      </w:r>
    </w:p>
    <w:p>
      <w:pPr>
        <w:pStyle w:val="BodyText"/>
        <w:spacing w:line="468" w:lineRule="auto" w:before="245"/>
        <w:ind w:left="875" w:right="107" w:hanging="2"/>
      </w:pPr>
      <w:r>
        <w:rPr>
          <w:color w:val="282828"/>
          <w:w w:val="105"/>
        </w:rPr>
        <w:t>WHEREAS, the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Street and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its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right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way are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shown on</w:t>
      </w:r>
      <w:r>
        <w:rPr>
          <w:color w:val="282828"/>
          <w:spacing w:val="-15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map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attached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Exhibit 1. NOW, THEREFORE, BE IT ORDAINED by the City of Belle Meade as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follows:</w:t>
      </w:r>
    </w:p>
    <w:p>
      <w:pPr>
        <w:spacing w:after="0" w:line="468" w:lineRule="auto"/>
        <w:sectPr>
          <w:type w:val="continuous"/>
          <w:pgSz w:w="12240" w:h="20160"/>
          <w:pgMar w:top="1340" w:bottom="0" w:left="1300" w:right="1300"/>
        </w:sectPr>
      </w:pPr>
    </w:p>
    <w:p>
      <w:pPr>
        <w:pStyle w:val="BodyText"/>
        <w:spacing w:line="249" w:lineRule="auto" w:before="3"/>
        <w:ind w:left="162" w:right="38" w:firstLine="709"/>
      </w:pPr>
      <w:r>
        <w:rPr>
          <w:color w:val="282828"/>
          <w:w w:val="105"/>
        </w:rPr>
        <w:t>Section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1. and abandoned.</w:t>
      </w:r>
    </w:p>
    <w:p>
      <w:pPr>
        <w:pStyle w:val="BodyText"/>
        <w:spacing w:line="263" w:lineRule="exact"/>
        <w:ind w:left="162"/>
      </w:pPr>
      <w:r>
        <w:rPr/>
        <w:br w:type="column"/>
      </w:r>
      <w:r>
        <w:rPr>
          <w:color w:val="282828"/>
          <w:w w:val="105"/>
        </w:rPr>
        <w:t>The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right-of-way</w:t>
      </w:r>
      <w:r>
        <w:rPr>
          <w:color w:val="282828"/>
          <w:spacing w:val="8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Redwing</w:t>
      </w:r>
      <w:r>
        <w:rPr>
          <w:color w:val="282828"/>
          <w:spacing w:val="5"/>
          <w:w w:val="105"/>
        </w:rPr>
        <w:t> </w:t>
      </w:r>
      <w:r>
        <w:rPr>
          <w:color w:val="282828"/>
          <w:w w:val="105"/>
        </w:rPr>
        <w:t>Avenue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is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hereby</w:t>
      </w:r>
      <w:r>
        <w:rPr>
          <w:color w:val="282828"/>
          <w:spacing w:val="2"/>
          <w:w w:val="105"/>
        </w:rPr>
        <w:t> </w:t>
      </w:r>
      <w:r>
        <w:rPr>
          <w:color w:val="282828"/>
          <w:w w:val="105"/>
        </w:rPr>
        <w:t>declared closed,</w:t>
      </w:r>
      <w:r>
        <w:rPr>
          <w:color w:val="282828"/>
          <w:spacing w:val="-1"/>
          <w:w w:val="105"/>
        </w:rPr>
        <w:t> </w:t>
      </w:r>
      <w:r>
        <w:rPr>
          <w:color w:val="282828"/>
          <w:spacing w:val="-2"/>
          <w:w w:val="105"/>
        </w:rPr>
        <w:t>vacated</w:t>
      </w:r>
    </w:p>
    <w:p>
      <w:pPr>
        <w:spacing w:after="0" w:line="263" w:lineRule="exact"/>
        <w:sectPr>
          <w:type w:val="continuous"/>
          <w:pgSz w:w="12240" w:h="20160"/>
          <w:pgMar w:top="1340" w:bottom="0" w:left="1300" w:right="1300"/>
          <w:cols w:num="2" w:equalWidth="0">
            <w:col w:w="1879" w:space="279"/>
            <w:col w:w="7482"/>
          </w:cols>
        </w:sectPr>
      </w:pPr>
    </w:p>
    <w:p>
      <w:pPr>
        <w:pStyle w:val="BodyText"/>
        <w:tabs>
          <w:tab w:pos="2331" w:val="left" w:leader="none"/>
        </w:tabs>
        <w:spacing w:line="249" w:lineRule="auto" w:before="234"/>
        <w:ind w:left="167" w:right="420" w:firstLine="7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45774</wp:posOffset>
                </wp:positionH>
                <wp:positionV relativeFrom="page">
                  <wp:posOffset>7992759</wp:posOffset>
                </wp:positionV>
                <wp:extent cx="1270" cy="47294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4729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29480">
                              <a:moveTo>
                                <a:pt x="0" y="47294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3.604284pt,1001.745304pt" to="3.604284pt,629.351135pt" stroked="true" strokeweight="1.44171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369246</wp:posOffset>
                </wp:positionH>
                <wp:positionV relativeFrom="page">
                  <wp:posOffset>2322360</wp:posOffset>
                </wp:positionV>
                <wp:extent cx="1270" cy="5867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86740">
                              <a:moveTo>
                                <a:pt x="0" y="5865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29.074556pt,229.051492pt" to="29.074556pt,182.863068pt" stroked="true" strokeweight="2.1625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387556</wp:posOffset>
                </wp:positionH>
                <wp:positionV relativeFrom="page">
                  <wp:posOffset>6098553</wp:posOffset>
                </wp:positionV>
                <wp:extent cx="1270" cy="4648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64820">
                              <a:moveTo>
                                <a:pt x="0" y="4643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30.51627pt,516.766886pt" to="30.51627pt,480.20105pt" stroked="true" strokeweight="1.92228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402814</wp:posOffset>
                </wp:positionH>
                <wp:positionV relativeFrom="page">
                  <wp:posOffset>9752538</wp:posOffset>
                </wp:positionV>
                <wp:extent cx="1270" cy="57467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574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74675">
                              <a:moveTo>
                                <a:pt x="0" y="5743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4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31.717697pt,813.142608pt" to="31.717697pt,767.916443pt" stroked="true" strokeweight="2.1625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82828"/>
          <w:w w:val="105"/>
        </w:rPr>
        <w:t>Section 2.</w:t>
      </w:r>
      <w:r>
        <w:rPr>
          <w:color w:val="282828"/>
        </w:rPr>
        <w:tab/>
      </w:r>
      <w:r>
        <w:rPr>
          <w:color w:val="282828"/>
          <w:w w:val="105"/>
        </w:rPr>
        <w:t>Any and all public utility or other easements in said right-of-way</w:t>
      </w:r>
      <w:r>
        <w:rPr>
          <w:color w:val="282828"/>
          <w:w w:val="105"/>
        </w:rPr>
        <w:t> are hereby retained by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City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Belle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Meade,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its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agents,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servants and/or contractors,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and utility companies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operating under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franchises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from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16"/>
          <w:w w:val="105"/>
        </w:rPr>
        <w:t> </w:t>
      </w:r>
      <w:r>
        <w:rPr>
          <w:color w:val="282828"/>
          <w:w w:val="105"/>
        </w:rPr>
        <w:t>City of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Belle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Meade,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or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from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Metropolitan Government of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Nashville and Davidson County, Tennessee, for the right to enter, construct, operate, maintain, repair, </w:t>
      </w:r>
      <w:r>
        <w:rPr>
          <w:color w:val="3F3F3F"/>
          <w:w w:val="105"/>
        </w:rPr>
        <w:t>rebuild, </w:t>
      </w:r>
      <w:r>
        <w:rPr>
          <w:color w:val="282828"/>
          <w:w w:val="105"/>
        </w:rPr>
        <w:t>enlarge and patrol its now existing and/or future utilities, including sewer, water and drainage facilities, together with their appurtenances,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and for the doing of any and all things necessary and incidental thereto.</w:t>
      </w:r>
    </w:p>
    <w:p>
      <w:pPr>
        <w:pStyle w:val="BodyText"/>
        <w:tabs>
          <w:tab w:pos="2340" w:val="left" w:leader="none"/>
        </w:tabs>
        <w:spacing w:before="244"/>
        <w:ind w:left="896"/>
      </w:pPr>
      <w:r>
        <w:rPr>
          <w:color w:val="282828"/>
          <w:w w:val="105"/>
        </w:rPr>
        <w:t>Section</w:t>
      </w:r>
      <w:r>
        <w:rPr>
          <w:color w:val="282828"/>
          <w:spacing w:val="-8"/>
          <w:w w:val="105"/>
        </w:rPr>
        <w:t> </w:t>
      </w:r>
      <w:r>
        <w:rPr>
          <w:color w:val="282828"/>
          <w:spacing w:val="-5"/>
          <w:w w:val="105"/>
        </w:rPr>
        <w:t>3.</w:t>
      </w:r>
      <w:r>
        <w:rPr>
          <w:color w:val="282828"/>
        </w:rPr>
        <w:tab/>
      </w:r>
      <w:r>
        <w:rPr>
          <w:color w:val="282828"/>
          <w:w w:val="105"/>
        </w:rPr>
        <w:t>This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Ordinance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shall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take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effect</w:t>
      </w:r>
      <w:r>
        <w:rPr>
          <w:color w:val="282828"/>
          <w:spacing w:val="-5"/>
          <w:w w:val="105"/>
        </w:rPr>
        <w:t> </w:t>
      </w:r>
      <w:r>
        <w:rPr>
          <w:color w:val="282828"/>
          <w:spacing w:val="-2"/>
          <w:w w:val="105"/>
        </w:rPr>
        <w:t>immediately.</w:t>
      </w:r>
    </w:p>
    <w:p>
      <w:pPr>
        <w:pStyle w:val="BodyText"/>
        <w:spacing w:before="2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3527682</wp:posOffset>
                </wp:positionH>
                <wp:positionV relativeFrom="paragraph">
                  <wp:posOffset>301752</wp:posOffset>
                </wp:positionV>
                <wp:extent cx="2282825" cy="63563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282825" cy="635635"/>
                          <a:chExt cx="2282825" cy="63563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618" cy="635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282825" cy="635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35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7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23"/>
                                </w:rPr>
                                <w:t>Rusty Moore,</w:t>
                              </w:r>
                              <w:r>
                                <w:rPr>
                                  <w:color w:val="282828"/>
                                  <w:spacing w:val="-7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23"/>
                                </w:rPr>
                                <w:t>Mayor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770294pt;margin-top:23.760077pt;width:179.75pt;height:50.05pt;mso-position-horizontal-relative:page;mso-position-vertical-relative:paragraph;z-index:-15728640;mso-wrap-distance-left:0;mso-wrap-distance-right:0" id="docshapegroup1" coordorigin="5555,475" coordsize="3595,1001">
                <v:shape style="position:absolute;left:5555;top:475;width:3595;height:1001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555;top:475;width:3595;height:1001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35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27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282828"/>
                            <w:w w:val="105"/>
                            <w:sz w:val="23"/>
                          </w:rPr>
                          <w:t>Rusty Moore,</w:t>
                        </w:r>
                        <w:r>
                          <w:rPr>
                            <w:color w:val="282828"/>
                            <w:spacing w:val="-7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23"/>
                          </w:rPr>
                          <w:t>Mayor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3592339</wp:posOffset>
                </wp:positionH>
                <wp:positionV relativeFrom="paragraph">
                  <wp:posOffset>1163056</wp:posOffset>
                </wp:positionV>
                <wp:extent cx="1424940" cy="1333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424940" cy="13335"/>
                          <a:chExt cx="1424940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64"/>
                            <a:ext cx="735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965" h="0">
                                <a:moveTo>
                                  <a:pt x="0" y="0"/>
                                </a:moveTo>
                                <a:lnTo>
                                  <a:pt x="735442" y="0"/>
                                </a:lnTo>
                              </a:path>
                            </a:pathLst>
                          </a:custGeom>
                          <a:ln w="12729">
                            <a:solidFill>
                              <a:srgbClr val="5950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63161" y="6364"/>
                            <a:ext cx="961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0">
                                <a:moveTo>
                                  <a:pt x="0" y="0"/>
                                </a:moveTo>
                                <a:lnTo>
                                  <a:pt x="961262" y="0"/>
                                </a:lnTo>
                              </a:path>
                            </a:pathLst>
                          </a:custGeom>
                          <a:ln w="12729">
                            <a:solidFill>
                              <a:srgbClr val="6B62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861389pt;margin-top:91.579262pt;width:112.2pt;height:1.05pt;mso-position-horizontal-relative:page;mso-position-vertical-relative:paragraph;z-index:-15728128;mso-wrap-distance-left:0;mso-wrap-distance-right:0" id="docshapegroup4" coordorigin="5657,1832" coordsize="2244,21">
                <v:line style="position:absolute" from="5657,1842" to="6815,1842" stroked="true" strokeweight="1.002353pt" strokecolor="#59508a">
                  <v:stroke dashstyle="solid"/>
                </v:line>
                <v:line style="position:absolute" from="6387,1842" to="7900,1842" stroked="true" strokeweight="1.002353pt" strokecolor="#6b62ac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00"/>
        <w:rPr>
          <w:sz w:val="20"/>
        </w:rPr>
      </w:pPr>
    </w:p>
    <w:p>
      <w:pPr>
        <w:pStyle w:val="BodyText"/>
        <w:spacing w:before="255"/>
        <w:ind w:left="4530"/>
      </w:pPr>
      <w:r>
        <w:rPr>
          <w:color w:val="282828"/>
          <w:w w:val="105"/>
        </w:rPr>
        <w:t>Rusty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Terry,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City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  <w:sz w:val="19"/>
        </w:rPr>
        <w:t>K</w:t>
      </w:r>
      <w:r>
        <w:rPr>
          <w:color w:val="282828"/>
          <w:spacing w:val="-13"/>
          <w:w w:val="105"/>
          <w:sz w:val="19"/>
        </w:rPr>
        <w:t> </w:t>
      </w:r>
      <w:r>
        <w:rPr>
          <w:color w:val="3F3F3F"/>
          <w:spacing w:val="-2"/>
          <w:w w:val="105"/>
          <w:position w:val="3"/>
        </w:rPr>
        <w:t>tsercler</w:t>
      </w:r>
    </w:p>
    <w:p>
      <w:pPr>
        <w:pStyle w:val="BodyText"/>
        <w:spacing w:before="19"/>
      </w:pPr>
    </w:p>
    <w:p>
      <w:pPr>
        <w:spacing w:before="0"/>
        <w:ind w:left="195" w:right="0" w:firstLine="0"/>
        <w:jc w:val="left"/>
        <w:rPr>
          <w:b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512">
                <wp:simplePos x="0" y="0"/>
                <wp:positionH relativeFrom="page">
                  <wp:posOffset>4942726</wp:posOffset>
                </wp:positionH>
                <wp:positionV relativeFrom="paragraph">
                  <wp:posOffset>-599789</wp:posOffset>
                </wp:positionV>
                <wp:extent cx="363220" cy="3384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63220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33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48"/>
                              </w:rPr>
                            </w:pPr>
                            <w:r>
                              <w:rPr>
                                <w:i/>
                                <w:color w:val="59508A"/>
                                <w:spacing w:val="-5"/>
                                <w:sz w:val="48"/>
                                <w:u w:val="thick" w:color="59508A"/>
                              </w:rPr>
                              <w:t>77</w:t>
                            </w:r>
                            <w:r>
                              <w:rPr>
                                <w:i/>
                                <w:color w:val="59508A"/>
                                <w:spacing w:val="40"/>
                                <w:sz w:val="48"/>
                                <w:u w:val="thick" w:color="59508A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191101pt;margin-top:-47.227535pt;width:28.6pt;height:26.65pt;mso-position-horizontal-relative:page;mso-position-vertical-relative:paragraph;z-index:-15763968" type="#_x0000_t202" id="docshape5" filled="false" stroked="false">
                <v:textbox inset="0,0,0,0">
                  <w:txbxContent>
                    <w:p>
                      <w:pPr>
                        <w:spacing w:line="533" w:lineRule="exact" w:before="0"/>
                        <w:ind w:left="0" w:right="0" w:firstLine="0"/>
                        <w:jc w:val="left"/>
                        <w:rPr>
                          <w:i/>
                          <w:sz w:val="48"/>
                        </w:rPr>
                      </w:pPr>
                      <w:r>
                        <w:rPr>
                          <w:i/>
                          <w:color w:val="59508A"/>
                          <w:spacing w:val="-5"/>
                          <w:sz w:val="48"/>
                          <w:u w:val="thick" w:color="59508A"/>
                        </w:rPr>
                        <w:t>77</w:t>
                      </w:r>
                      <w:r>
                        <w:rPr>
                          <w:i/>
                          <w:color w:val="59508A"/>
                          <w:spacing w:val="40"/>
                          <w:sz w:val="48"/>
                          <w:u w:val="thick" w:color="59508A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82828"/>
          <w:w w:val="105"/>
          <w:sz w:val="23"/>
        </w:rPr>
        <w:t>Passed on</w:t>
      </w:r>
      <w:r>
        <w:rPr>
          <w:color w:val="282828"/>
          <w:spacing w:val="-15"/>
          <w:w w:val="105"/>
          <w:sz w:val="23"/>
        </w:rPr>
        <w:t> </w:t>
      </w:r>
      <w:r>
        <w:rPr>
          <w:color w:val="282828"/>
          <w:w w:val="105"/>
          <w:sz w:val="23"/>
        </w:rPr>
        <w:t>first</w:t>
      </w:r>
      <w:r>
        <w:rPr>
          <w:color w:val="282828"/>
          <w:spacing w:val="-5"/>
          <w:w w:val="105"/>
          <w:sz w:val="23"/>
        </w:rPr>
        <w:t> </w:t>
      </w:r>
      <w:r>
        <w:rPr>
          <w:color w:val="282828"/>
          <w:w w:val="105"/>
          <w:sz w:val="23"/>
        </w:rPr>
        <w:t>reading</w:t>
      </w:r>
      <w:r>
        <w:rPr>
          <w:color w:val="282828"/>
          <w:spacing w:val="3"/>
          <w:w w:val="105"/>
          <w:sz w:val="23"/>
        </w:rPr>
        <w:t> </w:t>
      </w:r>
      <w:r>
        <w:rPr>
          <w:b/>
          <w:color w:val="282828"/>
          <w:w w:val="105"/>
          <w:sz w:val="23"/>
        </w:rPr>
        <w:t>April</w:t>
      </w:r>
      <w:r>
        <w:rPr>
          <w:b/>
          <w:color w:val="282828"/>
          <w:spacing w:val="4"/>
          <w:w w:val="105"/>
          <w:sz w:val="23"/>
        </w:rPr>
        <w:t> </w:t>
      </w:r>
      <w:r>
        <w:rPr>
          <w:b/>
          <w:color w:val="282828"/>
          <w:w w:val="105"/>
          <w:sz w:val="23"/>
        </w:rPr>
        <w:t>15,</w:t>
      </w:r>
      <w:r>
        <w:rPr>
          <w:b/>
          <w:color w:val="282828"/>
          <w:spacing w:val="-8"/>
          <w:w w:val="105"/>
          <w:sz w:val="23"/>
        </w:rPr>
        <w:t> </w:t>
      </w:r>
      <w:r>
        <w:rPr>
          <w:b/>
          <w:color w:val="282828"/>
          <w:spacing w:val="-4"/>
          <w:w w:val="105"/>
          <w:sz w:val="23"/>
        </w:rPr>
        <w:t>2024</w:t>
      </w:r>
    </w:p>
    <w:p>
      <w:pPr>
        <w:pStyle w:val="BodyText"/>
        <w:spacing w:before="20"/>
        <w:rPr>
          <w:b/>
        </w:rPr>
      </w:pPr>
    </w:p>
    <w:p>
      <w:pPr>
        <w:spacing w:before="0"/>
        <w:ind w:left="197" w:right="0" w:firstLine="0"/>
        <w:jc w:val="left"/>
        <w:rPr>
          <w:b/>
          <w:sz w:val="23"/>
        </w:rPr>
      </w:pPr>
      <w:r>
        <w:rPr>
          <w:color w:val="282828"/>
          <w:w w:val="105"/>
          <w:sz w:val="23"/>
        </w:rPr>
        <w:t>Approved</w:t>
      </w:r>
      <w:r>
        <w:rPr>
          <w:color w:val="282828"/>
          <w:spacing w:val="-1"/>
          <w:w w:val="105"/>
          <w:sz w:val="23"/>
        </w:rPr>
        <w:t> </w:t>
      </w:r>
      <w:r>
        <w:rPr>
          <w:color w:val="282828"/>
          <w:w w:val="105"/>
          <w:sz w:val="23"/>
        </w:rPr>
        <w:t>by</w:t>
      </w:r>
      <w:r>
        <w:rPr>
          <w:color w:val="282828"/>
          <w:spacing w:val="-10"/>
          <w:w w:val="105"/>
          <w:sz w:val="23"/>
        </w:rPr>
        <w:t> </w:t>
      </w:r>
      <w:r>
        <w:rPr>
          <w:color w:val="282828"/>
          <w:w w:val="105"/>
          <w:sz w:val="23"/>
        </w:rPr>
        <w:t>Municipal</w:t>
      </w:r>
      <w:r>
        <w:rPr>
          <w:color w:val="282828"/>
          <w:spacing w:val="-1"/>
          <w:w w:val="105"/>
          <w:sz w:val="23"/>
        </w:rPr>
        <w:t> </w:t>
      </w:r>
      <w:r>
        <w:rPr>
          <w:color w:val="282828"/>
          <w:w w:val="105"/>
          <w:sz w:val="23"/>
        </w:rPr>
        <w:t>Planning</w:t>
      </w:r>
      <w:r>
        <w:rPr>
          <w:color w:val="282828"/>
          <w:spacing w:val="-6"/>
          <w:w w:val="105"/>
          <w:sz w:val="23"/>
        </w:rPr>
        <w:t> </w:t>
      </w:r>
      <w:r>
        <w:rPr>
          <w:color w:val="282828"/>
          <w:w w:val="105"/>
          <w:sz w:val="23"/>
        </w:rPr>
        <w:t>Commission</w:t>
      </w:r>
      <w:r>
        <w:rPr>
          <w:color w:val="282828"/>
          <w:spacing w:val="47"/>
          <w:w w:val="105"/>
          <w:sz w:val="23"/>
        </w:rPr>
        <w:t> </w:t>
      </w:r>
      <w:r>
        <w:rPr>
          <w:b/>
          <w:color w:val="282828"/>
          <w:w w:val="105"/>
          <w:sz w:val="23"/>
        </w:rPr>
        <w:t>December</w:t>
      </w:r>
      <w:r>
        <w:rPr>
          <w:b/>
          <w:color w:val="282828"/>
          <w:spacing w:val="2"/>
          <w:w w:val="105"/>
          <w:sz w:val="23"/>
        </w:rPr>
        <w:t> </w:t>
      </w:r>
      <w:r>
        <w:rPr>
          <w:b/>
          <w:color w:val="282828"/>
          <w:w w:val="105"/>
          <w:sz w:val="23"/>
        </w:rPr>
        <w:t>19,</w:t>
      </w:r>
      <w:r>
        <w:rPr>
          <w:b/>
          <w:color w:val="282828"/>
          <w:spacing w:val="-15"/>
          <w:w w:val="105"/>
          <w:sz w:val="23"/>
        </w:rPr>
        <w:t> </w:t>
      </w:r>
      <w:r>
        <w:rPr>
          <w:b/>
          <w:color w:val="282828"/>
          <w:spacing w:val="-4"/>
          <w:w w:val="105"/>
          <w:sz w:val="23"/>
        </w:rPr>
        <w:t>2023</w:t>
      </w:r>
    </w:p>
    <w:p>
      <w:pPr>
        <w:pStyle w:val="BodyText"/>
        <w:spacing w:before="24"/>
        <w:rPr>
          <w:b/>
        </w:rPr>
      </w:pPr>
    </w:p>
    <w:p>
      <w:pPr>
        <w:spacing w:before="0"/>
        <w:ind w:left="200" w:right="0" w:firstLine="0"/>
        <w:jc w:val="left"/>
        <w:rPr>
          <w:b/>
          <w:sz w:val="23"/>
        </w:rPr>
      </w:pPr>
      <w:r>
        <w:rPr>
          <w:color w:val="282828"/>
          <w:w w:val="105"/>
          <w:sz w:val="23"/>
        </w:rPr>
        <w:t>Passed</w:t>
      </w:r>
      <w:r>
        <w:rPr>
          <w:color w:val="282828"/>
          <w:spacing w:val="3"/>
          <w:w w:val="105"/>
          <w:sz w:val="23"/>
        </w:rPr>
        <w:t> </w:t>
      </w:r>
      <w:r>
        <w:rPr>
          <w:color w:val="282828"/>
          <w:w w:val="105"/>
          <w:sz w:val="23"/>
        </w:rPr>
        <w:t>on</w:t>
      </w:r>
      <w:r>
        <w:rPr>
          <w:color w:val="282828"/>
          <w:spacing w:val="-14"/>
          <w:w w:val="105"/>
          <w:sz w:val="23"/>
        </w:rPr>
        <w:t> </w:t>
      </w:r>
      <w:r>
        <w:rPr>
          <w:color w:val="282828"/>
          <w:w w:val="105"/>
          <w:sz w:val="23"/>
        </w:rPr>
        <w:t>second</w:t>
      </w:r>
      <w:r>
        <w:rPr>
          <w:color w:val="282828"/>
          <w:spacing w:val="7"/>
          <w:w w:val="105"/>
          <w:sz w:val="23"/>
        </w:rPr>
        <w:t> </w:t>
      </w:r>
      <w:r>
        <w:rPr>
          <w:color w:val="282828"/>
          <w:w w:val="105"/>
          <w:sz w:val="23"/>
        </w:rPr>
        <w:t>reading</w:t>
      </w:r>
      <w:r>
        <w:rPr>
          <w:color w:val="282828"/>
          <w:spacing w:val="2"/>
          <w:w w:val="105"/>
          <w:sz w:val="23"/>
        </w:rPr>
        <w:t> </w:t>
      </w:r>
      <w:r>
        <w:rPr>
          <w:b/>
          <w:color w:val="282828"/>
          <w:w w:val="105"/>
          <w:sz w:val="23"/>
        </w:rPr>
        <w:t>May</w:t>
      </w:r>
      <w:r>
        <w:rPr>
          <w:b/>
          <w:color w:val="282828"/>
          <w:spacing w:val="-2"/>
          <w:w w:val="105"/>
          <w:sz w:val="23"/>
        </w:rPr>
        <w:t> </w:t>
      </w:r>
      <w:r>
        <w:rPr>
          <w:b/>
          <w:color w:val="282828"/>
          <w:w w:val="105"/>
          <w:sz w:val="23"/>
        </w:rPr>
        <w:t>15,</w:t>
      </w:r>
      <w:r>
        <w:rPr>
          <w:b/>
          <w:color w:val="282828"/>
          <w:spacing w:val="-15"/>
          <w:w w:val="105"/>
          <w:sz w:val="23"/>
        </w:rPr>
        <w:t> </w:t>
      </w:r>
      <w:r>
        <w:rPr>
          <w:b/>
          <w:color w:val="282828"/>
          <w:spacing w:val="-4"/>
          <w:w w:val="105"/>
          <w:sz w:val="23"/>
        </w:rPr>
        <w:t>2024</w:t>
      </w:r>
    </w:p>
    <w:sectPr>
      <w:type w:val="continuous"/>
      <w:pgSz w:w="12240" w:h="20160"/>
      <w:pgMar w:top="1340" w:bottom="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33" w:lineRule="exact"/>
    </w:pPr>
    <w:rPr>
      <w:rFonts w:ascii="Times New Roman" w:hAnsi="Times New Roman" w:eastAsia="Times New Roman" w:cs="Times New Roman"/>
      <w:i/>
      <w:iCs/>
      <w:sz w:val="48"/>
      <w:szCs w:val="4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SKM_C250i24051715440</dc:title>
  <dcterms:created xsi:type="dcterms:W3CDTF">2024-08-09T16:03:35Z</dcterms:created>
  <dcterms:modified xsi:type="dcterms:W3CDTF">2024-08-09T16:03:35Z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KM_C250i</vt:lpwstr>
  </property>
  <property fmtid="{D5CDD505-2E9C-101B-9397-08002B2CF9AE}" pid="4" name="LastSaved">
    <vt:filetime>2024-08-09T00:00:00Z</vt:filetime>
  </property>
  <property fmtid="{D5CDD505-2E9C-101B-9397-08002B2CF9AE}" pid="5" name="Producer">
    <vt:lpwstr>KONICA MINOLTA bizhub C250i</vt:lpwstr>
  </property>
</Properties>
</file>